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F62039" w:rsidRPr="00F62039" w14:paraId="0EE317DA" w14:textId="77777777" w:rsidTr="00F62039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E109" w14:textId="77777777" w:rsidR="00F62039" w:rsidRPr="00F62039" w:rsidRDefault="00F62039" w:rsidP="00F62039">
            <w:pPr>
              <w:spacing w:after="0" w:line="240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F6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 Aralık 2021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C7F2" w14:textId="77777777" w:rsidR="00F62039" w:rsidRPr="00F62039" w:rsidRDefault="00F62039" w:rsidP="00F6203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792A" w14:textId="77777777" w:rsidR="00F62039" w:rsidRPr="00F62039" w:rsidRDefault="00F62039" w:rsidP="00F62039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6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Sayı :</w:t>
            </w:r>
            <w:proofErr w:type="gramEnd"/>
            <w:r w:rsidRPr="00F62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31696</w:t>
            </w:r>
          </w:p>
        </w:tc>
      </w:tr>
      <w:tr w:rsidR="00F62039" w:rsidRPr="00F62039" w14:paraId="39CF16C9" w14:textId="77777777" w:rsidTr="00F6203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C6A2" w14:textId="77777777" w:rsidR="00F62039" w:rsidRPr="00F62039" w:rsidRDefault="00F62039" w:rsidP="00F62039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Arial" w:eastAsia="Times New Roman" w:hAnsi="Arial" w:cs="Arial"/>
                <w:b/>
                <w:bCs/>
                <w:color w:val="000080"/>
                <w:lang w:eastAsia="tr-TR"/>
              </w:rPr>
              <w:t>TEBLİĞ</w:t>
            </w:r>
          </w:p>
        </w:tc>
      </w:tr>
      <w:tr w:rsidR="00F62039" w:rsidRPr="00F62039" w14:paraId="32DF3346" w14:textId="77777777" w:rsidTr="00F6203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9E001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u w:val="single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color w:val="000000"/>
                <w:u w:val="single"/>
                <w:lang w:eastAsia="tr-TR"/>
              </w:rPr>
              <w:t>Hazine ve Maliye Bakanlığı (Gelir İdaresi Başkanlığı)’</w:t>
            </w:r>
            <w:proofErr w:type="spellStart"/>
            <w:r w:rsidRPr="00F62039">
              <w:rPr>
                <w:rFonts w:ascii="&amp;quot" w:eastAsia="Times New Roman" w:hAnsi="&amp;quot" w:cs="Times New Roman"/>
                <w:color w:val="000000"/>
                <w:u w:val="single"/>
                <w:lang w:eastAsia="tr-TR"/>
              </w:rPr>
              <w:t>ndan</w:t>
            </w:r>
            <w:proofErr w:type="spellEnd"/>
            <w:r w:rsidRPr="00F62039">
              <w:rPr>
                <w:rFonts w:ascii="&amp;quot" w:eastAsia="Times New Roman" w:hAnsi="&amp;quot" w:cs="Times New Roman"/>
                <w:color w:val="000000"/>
                <w:u w:val="single"/>
                <w:lang w:eastAsia="tr-TR"/>
              </w:rPr>
              <w:t xml:space="preserve">: </w:t>
            </w:r>
          </w:p>
          <w:p w14:paraId="08036F0B" w14:textId="77777777" w:rsidR="00F62039" w:rsidRPr="00F62039" w:rsidRDefault="00F62039" w:rsidP="00F62039">
            <w:pPr>
              <w:spacing w:before="56"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DAMGA VERGİSİ KANUNU GENEL TEBLİĞİ</w:t>
            </w:r>
          </w:p>
          <w:p w14:paraId="06C7A2F6" w14:textId="77777777" w:rsidR="00F62039" w:rsidRPr="00F62039" w:rsidRDefault="00F62039" w:rsidP="00F62039">
            <w:pPr>
              <w:spacing w:after="17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(SERİ NO: 66)</w:t>
            </w:r>
          </w:p>
          <w:p w14:paraId="33C3600E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Amaç ve kapsam</w:t>
            </w:r>
          </w:p>
          <w:p w14:paraId="6948C4C3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MADDE 1 –</w:t>
            </w: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(1) Bu Tebliğin amacı, 1/7/1964 tarihli ve 488 sayılı Damga Vergisi Kanununun </w:t>
            </w:r>
            <w:proofErr w:type="gram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14 üncü</w:t>
            </w:r>
            <w:proofErr w:type="gram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maddesinde yer alan azami tutarın ve Damga Vergisi Kanununa ekli (1) sayılı tabloda yer alan maktu vergilerin yeniden değerleme oranına göre belirlenerek tespit ve ilan edilmesidir. </w:t>
            </w:r>
          </w:p>
          <w:p w14:paraId="27B15837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Dayanak</w:t>
            </w:r>
          </w:p>
          <w:p w14:paraId="5991F49F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MADDE 2 –</w:t>
            </w: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(1) Bu Tebliğ, 488 sayılı Kanunun </w:t>
            </w:r>
            <w:proofErr w:type="gram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14 üncü</w:t>
            </w:r>
            <w:proofErr w:type="gram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maddesinin birinci fıkrası ve mükerrer 30 uncu maddesinin birinci fıkrası hükümlerine dayanılarak hazırlanmıştır. </w:t>
            </w:r>
          </w:p>
          <w:p w14:paraId="4F624BE8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Maktu damga vergisi tutarları ile azami tutarın belirlenmesi</w:t>
            </w:r>
          </w:p>
          <w:p w14:paraId="0906DC73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MADDE 3 –</w:t>
            </w: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(1) Bakanlığımızca 2021 yılı için yeniden değerleme oranı </w:t>
            </w:r>
            <w:proofErr w:type="gram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% 36,20</w:t>
            </w:r>
            <w:proofErr w:type="gram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otuzaltı</w:t>
            </w:r>
            <w:proofErr w:type="spell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virgül yirmi) olarak tespit edilmiş ve 27/11/2021 tarihli ve 31672 sayılı Resmî </w:t>
            </w:r>
            <w:proofErr w:type="spell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Gazete’de</w:t>
            </w:r>
            <w:proofErr w:type="spell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yayımlanan Vergi Usul Kanunu Genel Tebliği (Sıra No: 533) ile ilan edilmiş bulunmaktadır.</w:t>
            </w:r>
          </w:p>
          <w:p w14:paraId="6743E118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(2) 488 sayılı Kanunun mükerrer 30 uncu maddesinin birinci fıkrası hükmü gereğince, Kanuna ekli (1) sayılı tabloda yer alan ve 65 Seri </w:t>
            </w:r>
            <w:proofErr w:type="spell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No’lu</w:t>
            </w:r>
            <w:proofErr w:type="spell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Damga Vergisi Kanunu Genel Tebliği ile tespit edilen maktu vergiler, (maktu ve nispi vergilerin asgari ve azami miktarlarını belirleyen hadler dahil), yeniden değerleme oranında artırılmış ve 1/1/2022 tarihinden itibaren uygulanacak miktarları Tebliğ ekindeki (1) sayılı tabloda gösterilmiştir.</w:t>
            </w:r>
          </w:p>
          <w:p w14:paraId="321F5433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(3) 488 sayılı Kanunun </w:t>
            </w:r>
            <w:proofErr w:type="gramStart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14 üncü</w:t>
            </w:r>
            <w:proofErr w:type="gramEnd"/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maddesinin birinci fıkrasında yer alan her bir kağıttan alınacak damga vergisine ilişkin üst sınır yeniden değerleme oranında artırılmış ve 1/1/2022 tarihinden itibaren 4.814.234,00 Türk Lirası olmuştur.</w:t>
            </w:r>
          </w:p>
          <w:p w14:paraId="76EDF361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Yürürlük</w:t>
            </w:r>
          </w:p>
          <w:p w14:paraId="219EBBB0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MADDE 4 –</w:t>
            </w: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(1) Bu Tebliğ 1/1/2022 tarihinde yürürlüğe girer.</w:t>
            </w:r>
          </w:p>
          <w:p w14:paraId="619314B2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Yürütme</w:t>
            </w:r>
          </w:p>
          <w:p w14:paraId="628DCE9F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b/>
                <w:bCs/>
                <w:color w:val="000000"/>
                <w:lang w:eastAsia="tr-TR"/>
              </w:rPr>
              <w:t>MADDE 5 –</w:t>
            </w: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 xml:space="preserve"> (1) Bu Tebliğ hükümlerini Hazine ve Maliye Bakanı yürütür.</w:t>
            </w:r>
          </w:p>
          <w:p w14:paraId="753CA16B" w14:textId="77777777" w:rsidR="00F62039" w:rsidRPr="00F62039" w:rsidRDefault="00F62039" w:rsidP="00F6203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r w:rsidRPr="00F62039">
              <w:rPr>
                <w:rFonts w:ascii="&amp;quot" w:eastAsia="Times New Roman" w:hAnsi="&amp;quot" w:cs="Times New Roman"/>
                <w:color w:val="000000"/>
                <w:lang w:eastAsia="tr-TR"/>
              </w:rPr>
              <w:t> </w:t>
            </w:r>
          </w:p>
          <w:p w14:paraId="32098926" w14:textId="77777777" w:rsidR="00F62039" w:rsidRPr="00F62039" w:rsidRDefault="00F62039" w:rsidP="00F62039">
            <w:pPr>
              <w:spacing w:after="0" w:line="240" w:lineRule="atLeast"/>
              <w:jc w:val="both"/>
              <w:rPr>
                <w:rFonts w:ascii="&amp;quot" w:eastAsia="Times New Roman" w:hAnsi="&amp;quot" w:cs="Times New Roman"/>
                <w:color w:val="000000"/>
                <w:lang w:eastAsia="tr-TR"/>
              </w:rPr>
            </w:pPr>
            <w:hyperlink r:id="rId4" w:history="1">
              <w:r w:rsidRPr="00F62039">
                <w:rPr>
                  <w:rFonts w:ascii="&amp;quot" w:eastAsia="Times New Roman" w:hAnsi="&amp;quot" w:cs="Times New Roman"/>
                  <w:b/>
                  <w:bCs/>
                  <w:color w:val="0000FF"/>
                  <w:u w:val="single"/>
                  <w:lang w:eastAsia="tr-TR"/>
                </w:rPr>
                <w:t>Eki için tıklayınız</w:t>
              </w:r>
            </w:hyperlink>
          </w:p>
        </w:tc>
      </w:tr>
    </w:tbl>
    <w:p w14:paraId="75F5404F" w14:textId="77777777" w:rsidR="003E000E" w:rsidRDefault="003E000E"/>
    <w:sectPr w:rsidR="003E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9"/>
    <w:rsid w:val="003E000E"/>
    <w:rsid w:val="00F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774E9"/>
  <w15:chartTrackingRefBased/>
  <w15:docId w15:val="{C1C926EE-151E-43A2-8426-832F6C2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1/12/20211221-12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2021-12-21T06:07:00Z</dcterms:created>
  <dcterms:modified xsi:type="dcterms:W3CDTF">2021-12-21T06:08:00Z</dcterms:modified>
</cp:coreProperties>
</file>